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CB96C" w14:textId="445DAC39" w:rsidR="000A6230" w:rsidRPr="000A6230" w:rsidRDefault="000A6230" w:rsidP="000A6230">
      <w:pPr>
        <w:jc w:val="center"/>
        <w:rPr>
          <w:rFonts w:asciiTheme="minorHAnsi" w:hAnsiTheme="minorHAnsi" w:cstheme="minorHAnsi"/>
          <w:b/>
          <w:bCs/>
          <w:color w:val="000000" w:themeColor="text1"/>
          <w:u w:val="single"/>
          <w:lang w:val="it-IT"/>
        </w:rPr>
      </w:pPr>
      <w:r w:rsidRPr="000A6230">
        <w:rPr>
          <w:rFonts w:asciiTheme="minorHAnsi" w:hAnsiTheme="minorHAnsi" w:cstheme="minorHAnsi"/>
          <w:b/>
          <w:bCs/>
          <w:color w:val="000000" w:themeColor="text1"/>
          <w:u w:val="single"/>
          <w:lang w:val="it-IT"/>
        </w:rPr>
        <w:t>COMUNICATO STAMPA</w:t>
      </w:r>
    </w:p>
    <w:p w14:paraId="58A4E557" w14:textId="48FF2441" w:rsidR="000A6230" w:rsidRPr="000A6230" w:rsidRDefault="000A6230" w:rsidP="000A6230">
      <w:pPr>
        <w:jc w:val="center"/>
        <w:rPr>
          <w:rFonts w:asciiTheme="minorHAnsi" w:hAnsiTheme="minorHAnsi" w:cstheme="minorHAnsi"/>
          <w:b/>
          <w:bCs/>
          <w:color w:val="000000" w:themeColor="text1"/>
          <w:lang w:val="it-IT"/>
        </w:rPr>
      </w:pPr>
    </w:p>
    <w:p w14:paraId="7F1EAFCB" w14:textId="71162C5D" w:rsidR="000A6230" w:rsidRPr="000A6230" w:rsidRDefault="000A6230" w:rsidP="000A6230">
      <w:pPr>
        <w:jc w:val="center"/>
        <w:rPr>
          <w:rFonts w:asciiTheme="minorHAnsi" w:hAnsiTheme="minorHAnsi" w:cstheme="minorHAnsi"/>
          <w:b/>
          <w:bCs/>
          <w:color w:val="000000" w:themeColor="text1"/>
          <w:lang w:val="it-IT"/>
        </w:rPr>
      </w:pPr>
      <w:r w:rsidRPr="000A6230">
        <w:rPr>
          <w:rFonts w:asciiTheme="minorHAnsi" w:hAnsiTheme="minorHAnsi" w:cstheme="minorHAnsi"/>
          <w:b/>
          <w:bCs/>
          <w:color w:val="000000" w:themeColor="text1"/>
          <w:lang w:val="it-IT"/>
        </w:rPr>
        <w:t>“ABRUZZO PROSSIMO”, CGIL, CISL E UIL ALLA REGIONE:</w:t>
      </w:r>
    </w:p>
    <w:p w14:paraId="65A3E102" w14:textId="1C4BEFCE" w:rsidR="000A6230" w:rsidRPr="000A6230" w:rsidRDefault="000A6230" w:rsidP="000A6230">
      <w:pPr>
        <w:jc w:val="center"/>
        <w:rPr>
          <w:rFonts w:asciiTheme="minorHAnsi" w:hAnsiTheme="minorHAnsi" w:cstheme="minorHAnsi"/>
          <w:b/>
          <w:bCs/>
          <w:color w:val="000000" w:themeColor="text1"/>
          <w:lang w:val="it-IT"/>
        </w:rPr>
      </w:pPr>
      <w:r w:rsidRPr="000A6230">
        <w:rPr>
          <w:rFonts w:asciiTheme="minorHAnsi" w:hAnsiTheme="minorHAnsi" w:cstheme="minorHAnsi"/>
          <w:b/>
          <w:bCs/>
          <w:color w:val="000000" w:themeColor="text1"/>
          <w:lang w:val="it-IT"/>
        </w:rPr>
        <w:t>“TROPPI I TEMI ASSENTI, VOGLIAMO CONTRIBUIRE DA PROTAGONISTI”</w:t>
      </w:r>
    </w:p>
    <w:p w14:paraId="62F48DBE" w14:textId="77777777" w:rsidR="000A6230" w:rsidRDefault="000A6230" w:rsidP="000E0EE1">
      <w:pPr>
        <w:jc w:val="both"/>
        <w:rPr>
          <w:rFonts w:asciiTheme="minorHAnsi" w:hAnsiTheme="minorHAnsi" w:cstheme="minorHAnsi"/>
          <w:color w:val="000000" w:themeColor="text1"/>
          <w:lang w:val="it-IT"/>
        </w:rPr>
      </w:pPr>
    </w:p>
    <w:p w14:paraId="6306BE64" w14:textId="327D34EB" w:rsidR="000E0EE1" w:rsidRDefault="000E0EE1" w:rsidP="000E0EE1">
      <w:pPr>
        <w:jc w:val="both"/>
        <w:rPr>
          <w:rFonts w:asciiTheme="minorHAnsi" w:hAnsiTheme="minorHAnsi" w:cstheme="minorHAnsi"/>
          <w:color w:val="000000" w:themeColor="text1"/>
          <w:lang w:val="it-IT"/>
        </w:rPr>
      </w:pPr>
      <w:r>
        <w:rPr>
          <w:rFonts w:asciiTheme="minorHAnsi" w:hAnsiTheme="minorHAnsi" w:cstheme="minorHAnsi"/>
          <w:color w:val="000000" w:themeColor="text1"/>
          <w:lang w:val="it-IT"/>
        </w:rPr>
        <w:t xml:space="preserve">Pescara, 8 aprile 2021 – Lavoro di qualità, dialogo con le parti sociali, corridoio Tirreno-Adriatico, politiche industriali, riforma della sanità e dell’amministrazione. Sono questi, per </w:t>
      </w:r>
      <w:r w:rsidR="000A6230">
        <w:rPr>
          <w:rFonts w:asciiTheme="minorHAnsi" w:hAnsiTheme="minorHAnsi" w:cstheme="minorHAnsi"/>
          <w:color w:val="000000" w:themeColor="text1"/>
          <w:lang w:val="it-IT"/>
        </w:rPr>
        <w:t xml:space="preserve">i segretari generali di </w:t>
      </w:r>
      <w:r w:rsidRPr="000A6230">
        <w:rPr>
          <w:rFonts w:asciiTheme="minorHAnsi" w:hAnsiTheme="minorHAnsi" w:cstheme="minorHAnsi"/>
          <w:b/>
          <w:bCs/>
          <w:color w:val="000000" w:themeColor="text1"/>
          <w:lang w:val="it-IT"/>
        </w:rPr>
        <w:t>Cgil</w:t>
      </w:r>
      <w:r w:rsidR="000A6230" w:rsidRPr="000A6230">
        <w:rPr>
          <w:rFonts w:asciiTheme="minorHAnsi" w:hAnsiTheme="minorHAnsi" w:cstheme="minorHAnsi"/>
          <w:b/>
          <w:bCs/>
          <w:color w:val="000000" w:themeColor="text1"/>
          <w:lang w:val="it-IT"/>
        </w:rPr>
        <w:t xml:space="preserve"> Abruzzo Molise</w:t>
      </w:r>
      <w:r w:rsidRPr="000A6230">
        <w:rPr>
          <w:rFonts w:asciiTheme="minorHAnsi" w:hAnsiTheme="minorHAnsi" w:cstheme="minorHAnsi"/>
          <w:b/>
          <w:bCs/>
          <w:color w:val="000000" w:themeColor="text1"/>
          <w:lang w:val="it-IT"/>
        </w:rPr>
        <w:t xml:space="preserve">, Cisl </w:t>
      </w:r>
      <w:r w:rsidR="000A6230" w:rsidRPr="000A6230">
        <w:rPr>
          <w:rFonts w:asciiTheme="minorHAnsi" w:hAnsiTheme="minorHAnsi" w:cstheme="minorHAnsi"/>
          <w:b/>
          <w:bCs/>
          <w:color w:val="000000" w:themeColor="text1"/>
          <w:lang w:val="it-IT"/>
        </w:rPr>
        <w:t xml:space="preserve">Abruzzo Molise </w:t>
      </w:r>
      <w:r w:rsidRPr="000A6230">
        <w:rPr>
          <w:rFonts w:asciiTheme="minorHAnsi" w:hAnsiTheme="minorHAnsi" w:cstheme="minorHAnsi"/>
          <w:b/>
          <w:bCs/>
          <w:color w:val="000000" w:themeColor="text1"/>
          <w:lang w:val="it-IT"/>
        </w:rPr>
        <w:t xml:space="preserve">e Uil </w:t>
      </w:r>
      <w:r w:rsidR="000A6230" w:rsidRPr="000A6230">
        <w:rPr>
          <w:rFonts w:asciiTheme="minorHAnsi" w:hAnsiTheme="minorHAnsi" w:cstheme="minorHAnsi"/>
          <w:b/>
          <w:bCs/>
          <w:color w:val="000000" w:themeColor="text1"/>
          <w:lang w:val="it-IT"/>
        </w:rPr>
        <w:t>Abruzzo</w:t>
      </w:r>
      <w:r>
        <w:rPr>
          <w:rFonts w:asciiTheme="minorHAnsi" w:hAnsiTheme="minorHAnsi" w:cstheme="minorHAnsi"/>
          <w:color w:val="000000" w:themeColor="text1"/>
          <w:lang w:val="it-IT"/>
        </w:rPr>
        <w:t xml:space="preserve">, </w:t>
      </w:r>
      <w:r w:rsidR="000A6230" w:rsidRPr="000A6230">
        <w:rPr>
          <w:rFonts w:asciiTheme="minorHAnsi" w:hAnsiTheme="minorHAnsi" w:cstheme="minorHAnsi"/>
          <w:b/>
          <w:bCs/>
          <w:color w:val="000000" w:themeColor="text1"/>
          <w:lang w:val="it-IT"/>
        </w:rPr>
        <w:t>Carmine Ranieri, Leo Malandra e Michele Lombardo</w:t>
      </w:r>
      <w:r w:rsidR="000A6230">
        <w:rPr>
          <w:rFonts w:asciiTheme="minorHAnsi" w:hAnsiTheme="minorHAnsi" w:cstheme="minorHAnsi"/>
          <w:color w:val="000000" w:themeColor="text1"/>
          <w:lang w:val="it-IT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it-IT"/>
        </w:rPr>
        <w:t xml:space="preserve">i grandi </w:t>
      </w:r>
      <w:r w:rsidR="006E6D51">
        <w:rPr>
          <w:rFonts w:asciiTheme="minorHAnsi" w:hAnsiTheme="minorHAnsi" w:cstheme="minorHAnsi"/>
          <w:color w:val="000000" w:themeColor="text1"/>
          <w:lang w:val="it-IT"/>
        </w:rPr>
        <w:t xml:space="preserve">temi </w:t>
      </w:r>
      <w:r>
        <w:rPr>
          <w:rFonts w:asciiTheme="minorHAnsi" w:hAnsiTheme="minorHAnsi" w:cstheme="minorHAnsi"/>
          <w:color w:val="000000" w:themeColor="text1"/>
          <w:lang w:val="it-IT"/>
        </w:rPr>
        <w:t xml:space="preserve">assenti </w:t>
      </w:r>
      <w:r w:rsidR="006E6D51">
        <w:rPr>
          <w:rFonts w:asciiTheme="minorHAnsi" w:hAnsiTheme="minorHAnsi" w:cstheme="minorHAnsi"/>
          <w:color w:val="000000" w:themeColor="text1"/>
          <w:lang w:val="it-IT"/>
        </w:rPr>
        <w:t xml:space="preserve">o fortemente carenti </w:t>
      </w:r>
      <w:r>
        <w:rPr>
          <w:rFonts w:asciiTheme="minorHAnsi" w:hAnsiTheme="minorHAnsi" w:cstheme="minorHAnsi"/>
          <w:color w:val="000000" w:themeColor="text1"/>
          <w:lang w:val="it-IT"/>
        </w:rPr>
        <w:t xml:space="preserve">del documento </w:t>
      </w:r>
      <w:r w:rsidRPr="000A6230">
        <w:rPr>
          <w:rFonts w:asciiTheme="minorHAnsi" w:hAnsiTheme="minorHAnsi" w:cstheme="minorHAnsi"/>
          <w:b/>
          <w:bCs/>
          <w:color w:val="000000" w:themeColor="text1"/>
          <w:lang w:val="it-IT"/>
        </w:rPr>
        <w:t>“Abruzzo prossimo”,</w:t>
      </w:r>
      <w:r w:rsidRPr="000E0EE1">
        <w:rPr>
          <w:rFonts w:asciiTheme="minorHAnsi" w:hAnsiTheme="minorHAnsi" w:cstheme="minorHAnsi"/>
          <w:color w:val="000000" w:themeColor="text1"/>
          <w:lang w:val="it-IT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it-IT"/>
        </w:rPr>
        <w:t xml:space="preserve">predisposto dalla Regione in vista del </w:t>
      </w:r>
      <w:r w:rsidRPr="000E0EE1">
        <w:rPr>
          <w:rFonts w:asciiTheme="minorHAnsi" w:hAnsiTheme="minorHAnsi" w:cstheme="minorHAnsi"/>
          <w:color w:val="000000" w:themeColor="text1"/>
          <w:lang w:val="it-IT"/>
        </w:rPr>
        <w:t xml:space="preserve">confronto sulla nuova programmazione </w:t>
      </w:r>
      <w:r>
        <w:rPr>
          <w:rFonts w:asciiTheme="minorHAnsi" w:hAnsiTheme="minorHAnsi" w:cstheme="minorHAnsi"/>
          <w:color w:val="000000" w:themeColor="text1"/>
          <w:lang w:val="it-IT"/>
        </w:rPr>
        <w:t>20</w:t>
      </w:r>
      <w:r w:rsidRPr="000E0EE1">
        <w:rPr>
          <w:rFonts w:asciiTheme="minorHAnsi" w:hAnsiTheme="minorHAnsi" w:cstheme="minorHAnsi"/>
          <w:color w:val="000000" w:themeColor="text1"/>
          <w:lang w:val="it-IT"/>
        </w:rPr>
        <w:t>21-</w:t>
      </w:r>
      <w:r>
        <w:rPr>
          <w:rFonts w:asciiTheme="minorHAnsi" w:hAnsiTheme="minorHAnsi" w:cstheme="minorHAnsi"/>
          <w:color w:val="000000" w:themeColor="text1"/>
          <w:lang w:val="it-IT"/>
        </w:rPr>
        <w:t>20</w:t>
      </w:r>
      <w:r w:rsidRPr="000E0EE1">
        <w:rPr>
          <w:rFonts w:asciiTheme="minorHAnsi" w:hAnsiTheme="minorHAnsi" w:cstheme="minorHAnsi"/>
          <w:color w:val="000000" w:themeColor="text1"/>
          <w:lang w:val="it-IT"/>
        </w:rPr>
        <w:t>27.</w:t>
      </w:r>
      <w:r>
        <w:rPr>
          <w:rFonts w:asciiTheme="minorHAnsi" w:hAnsiTheme="minorHAnsi" w:cstheme="minorHAnsi"/>
          <w:color w:val="000000" w:themeColor="text1"/>
          <w:lang w:val="it-IT"/>
        </w:rPr>
        <w:t xml:space="preserve"> Le osservazioni dei sindacati sono contenute in un documento inviato alla Regione per dare un contributo concreto sul futuro dell’Abruzzo. </w:t>
      </w:r>
    </w:p>
    <w:p w14:paraId="5346EB02" w14:textId="1BD8BAF3" w:rsidR="000E0EE1" w:rsidRDefault="000E0EE1" w:rsidP="000E0EE1">
      <w:pPr>
        <w:jc w:val="both"/>
        <w:rPr>
          <w:rFonts w:asciiTheme="minorHAnsi" w:hAnsiTheme="minorHAnsi" w:cstheme="minorHAnsi"/>
          <w:color w:val="000000" w:themeColor="text1"/>
          <w:lang w:val="it-IT"/>
        </w:rPr>
      </w:pPr>
      <w:r>
        <w:rPr>
          <w:rFonts w:asciiTheme="minorHAnsi" w:hAnsiTheme="minorHAnsi" w:cstheme="minorHAnsi"/>
          <w:color w:val="000000" w:themeColor="text1"/>
          <w:lang w:val="it-IT"/>
        </w:rPr>
        <w:tab/>
      </w:r>
      <w:r w:rsidRPr="000A6230">
        <w:rPr>
          <w:rFonts w:asciiTheme="minorHAnsi" w:hAnsiTheme="minorHAnsi" w:cstheme="minorHAnsi"/>
          <w:b/>
          <w:bCs/>
          <w:color w:val="000000" w:themeColor="text1"/>
          <w:lang w:val="it-IT"/>
        </w:rPr>
        <w:t>Il lavoro</w:t>
      </w:r>
      <w:r>
        <w:rPr>
          <w:rFonts w:asciiTheme="minorHAnsi" w:hAnsiTheme="minorHAnsi" w:cstheme="minorHAnsi"/>
          <w:color w:val="000000" w:themeColor="text1"/>
          <w:lang w:val="it-IT"/>
        </w:rPr>
        <w:t>, in primo luogo: r</w:t>
      </w:r>
      <w:r w:rsidRPr="000E0EE1">
        <w:rPr>
          <w:rFonts w:asciiTheme="minorHAnsi" w:hAnsiTheme="minorHAnsi" w:cstheme="minorHAnsi"/>
          <w:color w:val="000000" w:themeColor="text1"/>
          <w:lang w:val="it-IT"/>
        </w:rPr>
        <w:t>ipartire dall’occupazione di qualità</w:t>
      </w:r>
      <w:r>
        <w:rPr>
          <w:rFonts w:asciiTheme="minorHAnsi" w:hAnsiTheme="minorHAnsi" w:cstheme="minorHAnsi"/>
          <w:color w:val="000000" w:themeColor="text1"/>
          <w:lang w:val="it-IT"/>
        </w:rPr>
        <w:t xml:space="preserve"> è per Cgil, Cisl e Uil la prima grande scelta da fare, ricorrendo a </w:t>
      </w:r>
      <w:r w:rsidRPr="000E0EE1">
        <w:rPr>
          <w:rFonts w:asciiTheme="minorHAnsi" w:hAnsiTheme="minorHAnsi" w:cstheme="minorHAnsi"/>
          <w:color w:val="000000" w:themeColor="text1"/>
          <w:lang w:val="it-IT"/>
        </w:rPr>
        <w:t xml:space="preserve">grandi </w:t>
      </w:r>
      <w:r w:rsidRPr="000A6230">
        <w:rPr>
          <w:rFonts w:asciiTheme="minorHAnsi" w:hAnsiTheme="minorHAnsi" w:cstheme="minorHAnsi"/>
          <w:b/>
          <w:bCs/>
          <w:color w:val="000000" w:themeColor="text1"/>
          <w:lang w:val="it-IT"/>
        </w:rPr>
        <w:t>investimenti</w:t>
      </w:r>
      <w:r>
        <w:rPr>
          <w:rFonts w:asciiTheme="minorHAnsi" w:hAnsiTheme="minorHAnsi" w:cstheme="minorHAnsi"/>
          <w:color w:val="000000" w:themeColor="text1"/>
          <w:lang w:val="it-IT"/>
        </w:rPr>
        <w:t xml:space="preserve"> che vedano </w:t>
      </w:r>
      <w:proofErr w:type="gramStart"/>
      <w:r>
        <w:rPr>
          <w:rFonts w:asciiTheme="minorHAnsi" w:hAnsiTheme="minorHAnsi" w:cstheme="minorHAnsi"/>
          <w:color w:val="000000" w:themeColor="text1"/>
          <w:lang w:val="it-IT"/>
        </w:rPr>
        <w:t>pubblico e privato protagonisti</w:t>
      </w:r>
      <w:proofErr w:type="gramEnd"/>
      <w:r>
        <w:rPr>
          <w:rFonts w:asciiTheme="minorHAnsi" w:hAnsiTheme="minorHAnsi" w:cstheme="minorHAnsi"/>
          <w:color w:val="000000" w:themeColor="text1"/>
          <w:lang w:val="it-IT"/>
        </w:rPr>
        <w:t xml:space="preserve">. Solo così, si ridarà dignità a tante persone e famiglie alle prese con difficoltà aggravate dalla pandemia in corso. Al riguardo, i sindacati chiedono di essere </w:t>
      </w:r>
      <w:r w:rsidRPr="000A6230">
        <w:rPr>
          <w:rFonts w:asciiTheme="minorHAnsi" w:hAnsiTheme="minorHAnsi" w:cstheme="minorHAnsi"/>
          <w:b/>
          <w:bCs/>
          <w:color w:val="000000" w:themeColor="text1"/>
          <w:lang w:val="it-IT"/>
        </w:rPr>
        <w:t>parte attiva nella definizione delle politiche del lavoro</w:t>
      </w:r>
      <w:r>
        <w:rPr>
          <w:rFonts w:asciiTheme="minorHAnsi" w:hAnsiTheme="minorHAnsi" w:cstheme="minorHAnsi"/>
          <w:color w:val="000000" w:themeColor="text1"/>
          <w:lang w:val="it-IT"/>
        </w:rPr>
        <w:t xml:space="preserve">, rilanciando il necessario </w:t>
      </w:r>
      <w:r w:rsidRPr="000E0EE1">
        <w:rPr>
          <w:rFonts w:asciiTheme="minorHAnsi" w:hAnsiTheme="minorHAnsi" w:cstheme="minorHAnsi"/>
          <w:color w:val="000000" w:themeColor="text1"/>
          <w:lang w:val="it-IT"/>
        </w:rPr>
        <w:t>dialogo con le parti economiche e sociali</w:t>
      </w:r>
      <w:r>
        <w:rPr>
          <w:rFonts w:asciiTheme="minorHAnsi" w:hAnsiTheme="minorHAnsi" w:cstheme="minorHAnsi"/>
          <w:color w:val="000000" w:themeColor="text1"/>
          <w:lang w:val="it-IT"/>
        </w:rPr>
        <w:t>: alla Regione, in particolare, si chiede la “</w:t>
      </w:r>
      <w:r w:rsidRPr="000E0EE1">
        <w:rPr>
          <w:rFonts w:asciiTheme="minorHAnsi" w:hAnsiTheme="minorHAnsi" w:cstheme="minorHAnsi"/>
          <w:color w:val="000000" w:themeColor="text1"/>
          <w:lang w:val="it-IT"/>
        </w:rPr>
        <w:t>conferma</w:t>
      </w:r>
      <w:r w:rsidR="006E6D51">
        <w:rPr>
          <w:rFonts w:asciiTheme="minorHAnsi" w:hAnsiTheme="minorHAnsi" w:cstheme="minorHAnsi"/>
          <w:color w:val="000000" w:themeColor="text1"/>
          <w:lang w:val="it-IT"/>
        </w:rPr>
        <w:t xml:space="preserve"> di quanto previsto n</w:t>
      </w:r>
      <w:r w:rsidRPr="000E0EE1">
        <w:rPr>
          <w:rFonts w:asciiTheme="minorHAnsi" w:hAnsiTheme="minorHAnsi" w:cstheme="minorHAnsi"/>
          <w:color w:val="000000" w:themeColor="text1"/>
          <w:lang w:val="it-IT"/>
        </w:rPr>
        <w:t xml:space="preserve">ei nuovi regolamenti europei </w:t>
      </w:r>
      <w:r w:rsidR="006E6D51">
        <w:rPr>
          <w:rFonts w:asciiTheme="minorHAnsi" w:hAnsiTheme="minorHAnsi" w:cstheme="minorHAnsi"/>
          <w:color w:val="000000" w:themeColor="text1"/>
          <w:lang w:val="it-IT"/>
        </w:rPr>
        <w:t>su</w:t>
      </w:r>
      <w:r w:rsidRPr="000E0EE1">
        <w:rPr>
          <w:rFonts w:asciiTheme="minorHAnsi" w:hAnsiTheme="minorHAnsi" w:cstheme="minorHAnsi"/>
          <w:color w:val="000000" w:themeColor="text1"/>
          <w:lang w:val="it-IT"/>
        </w:rPr>
        <w:t>lla partecipazione delle forze economiche e sociali con diritto di voto in tutti i Comitati di Sorveglianza dei Programmi Operativi</w:t>
      </w:r>
      <w:r w:rsidR="00AD1BB4">
        <w:rPr>
          <w:rFonts w:asciiTheme="minorHAnsi" w:hAnsiTheme="minorHAnsi" w:cstheme="minorHAnsi"/>
          <w:color w:val="000000" w:themeColor="text1"/>
          <w:lang w:val="it-IT"/>
        </w:rPr>
        <w:t>”, individuando in questi ultimi il luogo naturale del confronto. Inoltre, per i sindacati non basta indicare i settori di intervento, ma è necessario attuare strategie di “sostegno attivo ed efficace all’occupazione, perché altrimenti si darà vita ad un gigante con i piedi di argilla”.</w:t>
      </w:r>
    </w:p>
    <w:p w14:paraId="1642B00C" w14:textId="1C882F52" w:rsidR="00AD1BB4" w:rsidRPr="000E0EE1" w:rsidRDefault="00AD1BB4" w:rsidP="00AD1BB4">
      <w:pPr>
        <w:jc w:val="both"/>
        <w:rPr>
          <w:rFonts w:asciiTheme="minorHAnsi" w:hAnsiTheme="minorHAnsi" w:cstheme="minorHAnsi"/>
          <w:color w:val="000000" w:themeColor="text1"/>
          <w:lang w:val="it-IT"/>
        </w:rPr>
      </w:pPr>
      <w:r>
        <w:rPr>
          <w:rFonts w:asciiTheme="minorHAnsi" w:hAnsiTheme="minorHAnsi" w:cstheme="minorHAnsi"/>
          <w:color w:val="000000" w:themeColor="text1"/>
          <w:lang w:val="it-IT"/>
        </w:rPr>
        <w:tab/>
        <w:t xml:space="preserve">Nelle osservazioni, i sindacati rimarcano che occupazione di qualità sarà possibile se rilancia il </w:t>
      </w:r>
      <w:r w:rsidRPr="000A6230">
        <w:rPr>
          <w:rFonts w:asciiTheme="minorHAnsi" w:hAnsiTheme="minorHAnsi" w:cstheme="minorHAnsi"/>
          <w:b/>
          <w:bCs/>
          <w:color w:val="000000" w:themeColor="text1"/>
          <w:lang w:val="it-IT"/>
        </w:rPr>
        <w:t>sistema industriale e produttivo</w:t>
      </w:r>
      <w:r>
        <w:rPr>
          <w:rFonts w:asciiTheme="minorHAnsi" w:hAnsiTheme="minorHAnsi" w:cstheme="minorHAnsi"/>
          <w:color w:val="000000" w:themeColor="text1"/>
          <w:lang w:val="it-IT"/>
        </w:rPr>
        <w:t>. Un rilancio possibile con il r</w:t>
      </w:r>
      <w:r w:rsidRPr="000E0EE1">
        <w:rPr>
          <w:rFonts w:asciiTheme="minorHAnsi" w:hAnsiTheme="minorHAnsi" w:cstheme="minorHAnsi"/>
          <w:color w:val="000000" w:themeColor="text1"/>
          <w:kern w:val="1"/>
          <w:lang w:val="it-IT"/>
        </w:rPr>
        <w:t>afforza</w:t>
      </w:r>
      <w:r>
        <w:rPr>
          <w:rFonts w:asciiTheme="minorHAnsi" w:hAnsiTheme="minorHAnsi" w:cstheme="minorHAnsi"/>
          <w:color w:val="000000" w:themeColor="text1"/>
          <w:kern w:val="1"/>
          <w:lang w:val="it-IT"/>
        </w:rPr>
        <w:t>mento della “</w:t>
      </w:r>
      <w:r w:rsidRPr="000A6230">
        <w:rPr>
          <w:rFonts w:asciiTheme="minorHAnsi" w:hAnsiTheme="minorHAnsi" w:cstheme="minorHAnsi"/>
          <w:b/>
          <w:bCs/>
          <w:color w:val="000000" w:themeColor="text1"/>
          <w:kern w:val="1"/>
          <w:lang w:val="it-IT"/>
        </w:rPr>
        <w:t>ricerca</w:t>
      </w:r>
      <w:r w:rsidRPr="000E0EE1">
        <w:rPr>
          <w:rFonts w:asciiTheme="minorHAnsi" w:hAnsiTheme="minorHAnsi" w:cstheme="minorHAnsi"/>
          <w:color w:val="000000" w:themeColor="text1"/>
          <w:kern w:val="1"/>
          <w:lang w:val="it-IT"/>
        </w:rPr>
        <w:t xml:space="preserve"> </w:t>
      </w:r>
      <w:r w:rsidRPr="000A6230">
        <w:rPr>
          <w:rFonts w:asciiTheme="minorHAnsi" w:hAnsiTheme="minorHAnsi" w:cstheme="minorHAnsi"/>
          <w:b/>
          <w:bCs/>
          <w:color w:val="000000" w:themeColor="text1"/>
          <w:kern w:val="1"/>
          <w:lang w:val="it-IT"/>
        </w:rPr>
        <w:t>e dell’innovazione</w:t>
      </w:r>
      <w:r w:rsidRPr="000E0EE1">
        <w:rPr>
          <w:rFonts w:asciiTheme="minorHAnsi" w:hAnsiTheme="minorHAnsi" w:cstheme="minorHAnsi"/>
          <w:color w:val="000000" w:themeColor="text1"/>
          <w:kern w:val="1"/>
          <w:lang w:val="it-IT"/>
        </w:rPr>
        <w:t xml:space="preserve"> delle imprese in chiave di uno sviluppo sostenibile</w:t>
      </w:r>
      <w:r>
        <w:rPr>
          <w:rFonts w:asciiTheme="minorHAnsi" w:hAnsiTheme="minorHAnsi" w:cstheme="minorHAnsi"/>
          <w:color w:val="000000" w:themeColor="text1"/>
          <w:kern w:val="1"/>
          <w:lang w:val="it-IT"/>
        </w:rPr>
        <w:t>”, ma anche con “</w:t>
      </w:r>
      <w:r w:rsidRPr="000A6230">
        <w:rPr>
          <w:rFonts w:asciiTheme="minorHAnsi" w:hAnsiTheme="minorHAnsi" w:cstheme="minorHAnsi"/>
          <w:b/>
          <w:bCs/>
          <w:color w:val="000000" w:themeColor="text1"/>
          <w:kern w:val="1"/>
          <w:lang w:val="it-IT"/>
        </w:rPr>
        <w:t>politiche industriali</w:t>
      </w:r>
      <w:r>
        <w:rPr>
          <w:rFonts w:asciiTheme="minorHAnsi" w:hAnsiTheme="minorHAnsi" w:cstheme="minorHAnsi"/>
          <w:color w:val="000000" w:themeColor="text1"/>
          <w:kern w:val="1"/>
          <w:lang w:val="it-IT"/>
        </w:rPr>
        <w:t>,</w:t>
      </w:r>
      <w:r w:rsidRPr="000E0EE1">
        <w:rPr>
          <w:rFonts w:asciiTheme="minorHAnsi" w:hAnsiTheme="minorHAnsi" w:cstheme="minorHAnsi"/>
          <w:color w:val="000000" w:themeColor="text1"/>
          <w:kern w:val="1"/>
          <w:lang w:val="it-IT"/>
        </w:rPr>
        <w:t xml:space="preserve"> scarsamente indicate nel documento</w:t>
      </w:r>
      <w:r>
        <w:rPr>
          <w:rFonts w:asciiTheme="minorHAnsi" w:hAnsiTheme="minorHAnsi" w:cstheme="minorHAnsi"/>
          <w:color w:val="000000" w:themeColor="text1"/>
          <w:kern w:val="1"/>
          <w:lang w:val="it-IT"/>
        </w:rPr>
        <w:t xml:space="preserve">, che prevedano </w:t>
      </w:r>
      <w:r w:rsidRPr="000E0EE1">
        <w:rPr>
          <w:rFonts w:asciiTheme="minorHAnsi" w:hAnsiTheme="minorHAnsi" w:cstheme="minorHAnsi"/>
          <w:color w:val="000000" w:themeColor="text1"/>
          <w:kern w:val="1"/>
          <w:lang w:val="it-IT"/>
        </w:rPr>
        <w:t>misure selettive</w:t>
      </w:r>
      <w:r>
        <w:rPr>
          <w:rFonts w:asciiTheme="minorHAnsi" w:hAnsiTheme="minorHAnsi" w:cstheme="minorHAnsi"/>
          <w:color w:val="000000" w:themeColor="text1"/>
          <w:kern w:val="1"/>
          <w:lang w:val="it-IT"/>
        </w:rPr>
        <w:t>”</w:t>
      </w:r>
      <w:r w:rsidRPr="000E0EE1">
        <w:rPr>
          <w:rFonts w:asciiTheme="minorHAnsi" w:hAnsiTheme="minorHAnsi" w:cstheme="minorHAnsi"/>
          <w:color w:val="000000" w:themeColor="text1"/>
          <w:kern w:val="1"/>
          <w:lang w:val="it-IT"/>
        </w:rPr>
        <w:t xml:space="preserve"> </w:t>
      </w:r>
      <w:r>
        <w:rPr>
          <w:rFonts w:asciiTheme="minorHAnsi" w:hAnsiTheme="minorHAnsi" w:cstheme="minorHAnsi"/>
          <w:color w:val="000000" w:themeColor="text1"/>
          <w:kern w:val="1"/>
          <w:lang w:val="it-IT"/>
        </w:rPr>
        <w:t xml:space="preserve">in grado di abbandonare una volta per tutte </w:t>
      </w:r>
      <w:r w:rsidRPr="000E0EE1">
        <w:rPr>
          <w:rFonts w:asciiTheme="minorHAnsi" w:hAnsiTheme="minorHAnsi" w:cstheme="minorHAnsi"/>
          <w:color w:val="000000" w:themeColor="text1"/>
          <w:kern w:val="1"/>
          <w:lang w:val="it-IT"/>
        </w:rPr>
        <w:t xml:space="preserve">i sostegni cosiddetti </w:t>
      </w:r>
      <w:r>
        <w:rPr>
          <w:rFonts w:asciiTheme="minorHAnsi" w:hAnsiTheme="minorHAnsi" w:cstheme="minorHAnsi"/>
          <w:color w:val="000000" w:themeColor="text1"/>
          <w:kern w:val="1"/>
          <w:lang w:val="it-IT"/>
        </w:rPr>
        <w:t>“</w:t>
      </w:r>
      <w:r w:rsidRPr="000E0EE1">
        <w:rPr>
          <w:rFonts w:asciiTheme="minorHAnsi" w:hAnsiTheme="minorHAnsi" w:cstheme="minorHAnsi"/>
          <w:color w:val="000000" w:themeColor="text1"/>
          <w:kern w:val="1"/>
          <w:lang w:val="it-IT"/>
        </w:rPr>
        <w:t>a pioggia</w:t>
      </w:r>
      <w:r>
        <w:rPr>
          <w:rFonts w:asciiTheme="minorHAnsi" w:hAnsiTheme="minorHAnsi" w:cstheme="minorHAnsi"/>
          <w:color w:val="000000" w:themeColor="text1"/>
          <w:kern w:val="1"/>
          <w:lang w:val="it-IT"/>
        </w:rPr>
        <w:t>”</w:t>
      </w:r>
      <w:r w:rsidRPr="000E0EE1">
        <w:rPr>
          <w:rFonts w:asciiTheme="minorHAnsi" w:hAnsiTheme="minorHAnsi" w:cstheme="minorHAnsi"/>
          <w:color w:val="000000" w:themeColor="text1"/>
          <w:kern w:val="1"/>
          <w:lang w:val="it-IT"/>
        </w:rPr>
        <w:t xml:space="preserve">, </w:t>
      </w:r>
      <w:r>
        <w:rPr>
          <w:rFonts w:asciiTheme="minorHAnsi" w:hAnsiTheme="minorHAnsi" w:cstheme="minorHAnsi"/>
          <w:color w:val="000000" w:themeColor="text1"/>
          <w:kern w:val="1"/>
          <w:lang w:val="it-IT"/>
        </w:rPr>
        <w:t>e “</w:t>
      </w:r>
      <w:r w:rsidRPr="000E0EE1">
        <w:rPr>
          <w:rFonts w:asciiTheme="minorHAnsi" w:hAnsiTheme="minorHAnsi" w:cstheme="minorHAnsi"/>
          <w:color w:val="000000" w:themeColor="text1"/>
          <w:kern w:val="1"/>
          <w:lang w:val="it-IT"/>
        </w:rPr>
        <w:t xml:space="preserve">di prevedere implementazioni e miglioramenti dei servizi per le imprese e di indicare, </w:t>
      </w:r>
      <w:r>
        <w:rPr>
          <w:rFonts w:asciiTheme="minorHAnsi" w:hAnsiTheme="minorHAnsi" w:cstheme="minorHAnsi"/>
          <w:color w:val="000000" w:themeColor="text1"/>
          <w:kern w:val="1"/>
          <w:lang w:val="it-IT"/>
        </w:rPr>
        <w:t>infine</w:t>
      </w:r>
      <w:r w:rsidRPr="000E0EE1">
        <w:rPr>
          <w:rFonts w:asciiTheme="minorHAnsi" w:hAnsiTheme="minorHAnsi" w:cstheme="minorHAnsi"/>
          <w:color w:val="000000" w:themeColor="text1"/>
          <w:kern w:val="1"/>
          <w:lang w:val="it-IT"/>
        </w:rPr>
        <w:t>, anche interventi in materia di infrastrutturazione delle aree industriali a partire dalla depurazione delle acque e dalla banda larga</w:t>
      </w:r>
      <w:r>
        <w:rPr>
          <w:rFonts w:asciiTheme="minorHAnsi" w:hAnsiTheme="minorHAnsi" w:cstheme="minorHAnsi"/>
          <w:color w:val="000000" w:themeColor="text1"/>
          <w:kern w:val="1"/>
          <w:lang w:val="it-IT"/>
        </w:rPr>
        <w:t>”. In tema di lavoro, infine, si rimarca che “l’</w:t>
      </w:r>
      <w:r w:rsidRPr="000E0EE1">
        <w:rPr>
          <w:rFonts w:asciiTheme="minorHAnsi" w:hAnsiTheme="minorHAnsi" w:cstheme="minorHAnsi"/>
          <w:color w:val="000000" w:themeColor="text1"/>
          <w:kern w:val="1"/>
          <w:lang w:val="it-IT"/>
        </w:rPr>
        <w:t xml:space="preserve">aumento della partecipazione delle </w:t>
      </w:r>
      <w:r w:rsidRPr="000A6230">
        <w:rPr>
          <w:rFonts w:asciiTheme="minorHAnsi" w:hAnsiTheme="minorHAnsi" w:cstheme="minorHAnsi"/>
          <w:b/>
          <w:bCs/>
          <w:color w:val="000000" w:themeColor="text1"/>
          <w:kern w:val="1"/>
          <w:lang w:val="it-IT"/>
        </w:rPr>
        <w:t>donne</w:t>
      </w:r>
      <w:r w:rsidRPr="000E0EE1">
        <w:rPr>
          <w:rFonts w:asciiTheme="minorHAnsi" w:hAnsiTheme="minorHAnsi" w:cstheme="minorHAnsi"/>
          <w:color w:val="000000" w:themeColor="text1"/>
          <w:kern w:val="1"/>
          <w:lang w:val="it-IT"/>
        </w:rPr>
        <w:t xml:space="preserve"> al mercato del lavoro va affrontato con decisione</w:t>
      </w:r>
      <w:r>
        <w:rPr>
          <w:rFonts w:asciiTheme="minorHAnsi" w:hAnsiTheme="minorHAnsi" w:cstheme="minorHAnsi"/>
          <w:color w:val="000000" w:themeColor="text1"/>
          <w:kern w:val="1"/>
          <w:lang w:val="it-IT"/>
        </w:rPr>
        <w:t xml:space="preserve">”, insieme alla strutturazione di adeguate </w:t>
      </w:r>
      <w:r w:rsidRPr="000A6230">
        <w:rPr>
          <w:rFonts w:asciiTheme="minorHAnsi" w:hAnsiTheme="minorHAnsi" w:cstheme="minorHAnsi"/>
          <w:b/>
          <w:bCs/>
          <w:color w:val="000000" w:themeColor="text1"/>
          <w:kern w:val="1"/>
          <w:lang w:val="it-IT"/>
        </w:rPr>
        <w:t>politiche di formazione</w:t>
      </w:r>
      <w:r>
        <w:rPr>
          <w:rFonts w:asciiTheme="minorHAnsi" w:hAnsiTheme="minorHAnsi" w:cstheme="minorHAnsi"/>
          <w:color w:val="000000" w:themeColor="text1"/>
          <w:kern w:val="1"/>
          <w:lang w:val="it-IT"/>
        </w:rPr>
        <w:t>.</w:t>
      </w:r>
    </w:p>
    <w:p w14:paraId="00448FD4" w14:textId="5592209F" w:rsidR="000E0EE1" w:rsidRDefault="00AD1BB4" w:rsidP="00AD1BB4">
      <w:pPr>
        <w:ind w:firstLine="708"/>
        <w:jc w:val="both"/>
        <w:rPr>
          <w:rFonts w:asciiTheme="minorHAnsi" w:hAnsiTheme="minorHAnsi" w:cstheme="minorHAnsi"/>
          <w:color w:val="000000" w:themeColor="text1"/>
          <w:lang w:val="it-IT"/>
        </w:rPr>
      </w:pPr>
      <w:r w:rsidRPr="00AD1BB4">
        <w:rPr>
          <w:rFonts w:asciiTheme="minorHAnsi" w:hAnsiTheme="minorHAnsi" w:cstheme="minorHAnsi"/>
          <w:color w:val="000000" w:themeColor="text1"/>
          <w:lang w:val="it-IT"/>
        </w:rPr>
        <w:t>Cgil, Cisl e Uil, poi, sottolineano la “</w:t>
      </w:r>
      <w:r w:rsidR="000E0EE1" w:rsidRPr="000E0EE1">
        <w:rPr>
          <w:rFonts w:asciiTheme="minorHAnsi" w:hAnsiTheme="minorHAnsi" w:cstheme="minorHAnsi"/>
          <w:color w:val="000000" w:themeColor="text1"/>
          <w:lang w:val="it-IT"/>
        </w:rPr>
        <w:t xml:space="preserve">scarsa rilevanza data nel documento alla fondamentale necessità di implementare la </w:t>
      </w:r>
      <w:r w:rsidR="000E0EE1" w:rsidRPr="000A6230">
        <w:rPr>
          <w:rFonts w:asciiTheme="minorHAnsi" w:hAnsiTheme="minorHAnsi" w:cstheme="minorHAnsi"/>
          <w:b/>
          <w:bCs/>
          <w:color w:val="000000" w:themeColor="text1"/>
          <w:lang w:val="it-IT"/>
        </w:rPr>
        <w:t>Trasversalità Adriatico-Tirreno</w:t>
      </w:r>
      <w:r w:rsidR="000E0EE1" w:rsidRPr="000E0EE1">
        <w:rPr>
          <w:rFonts w:asciiTheme="minorHAnsi" w:hAnsiTheme="minorHAnsi" w:cstheme="minorHAnsi"/>
          <w:color w:val="000000" w:themeColor="text1"/>
          <w:lang w:val="it-IT"/>
        </w:rPr>
        <w:t xml:space="preserve"> nell’asse</w:t>
      </w:r>
      <w:r w:rsidR="000E0EE1" w:rsidRPr="00AD1BB4">
        <w:rPr>
          <w:rFonts w:asciiTheme="minorHAnsi" w:hAnsiTheme="minorHAnsi" w:cstheme="minorHAnsi"/>
          <w:color w:val="000000" w:themeColor="text1"/>
          <w:lang w:val="it-IT"/>
        </w:rPr>
        <w:t xml:space="preserve"> </w:t>
      </w:r>
      <w:r w:rsidR="000E0EE1" w:rsidRPr="000E0EE1">
        <w:rPr>
          <w:rFonts w:asciiTheme="minorHAnsi" w:hAnsiTheme="minorHAnsi" w:cstheme="minorHAnsi"/>
          <w:color w:val="000000" w:themeColor="text1"/>
          <w:lang w:val="it-IT"/>
        </w:rPr>
        <w:t>individuato</w:t>
      </w:r>
      <w:r w:rsidR="000E0EE1" w:rsidRPr="00AD1BB4">
        <w:rPr>
          <w:rFonts w:asciiTheme="minorHAnsi" w:hAnsiTheme="minorHAnsi" w:cstheme="minorHAnsi"/>
          <w:color w:val="000000" w:themeColor="text1"/>
          <w:lang w:val="it-IT"/>
        </w:rPr>
        <w:t xml:space="preserve"> </w:t>
      </w:r>
      <w:r w:rsidR="000E0EE1" w:rsidRPr="000E0EE1">
        <w:rPr>
          <w:rFonts w:asciiTheme="minorHAnsi" w:hAnsiTheme="minorHAnsi" w:cstheme="minorHAnsi"/>
          <w:color w:val="000000" w:themeColor="text1"/>
          <w:lang w:val="it-IT"/>
        </w:rPr>
        <w:t xml:space="preserve">tra i </w:t>
      </w:r>
      <w:r>
        <w:rPr>
          <w:rFonts w:asciiTheme="minorHAnsi" w:hAnsiTheme="minorHAnsi" w:cstheme="minorHAnsi"/>
          <w:color w:val="000000" w:themeColor="text1"/>
          <w:lang w:val="it-IT"/>
        </w:rPr>
        <w:t>p</w:t>
      </w:r>
      <w:r w:rsidR="000E0EE1" w:rsidRPr="000E0EE1">
        <w:rPr>
          <w:rFonts w:asciiTheme="minorHAnsi" w:hAnsiTheme="minorHAnsi" w:cstheme="minorHAnsi"/>
          <w:color w:val="000000" w:themeColor="text1"/>
          <w:lang w:val="it-IT"/>
        </w:rPr>
        <w:t>orti di Civitavecchia e Ortona</w:t>
      </w:r>
      <w:r>
        <w:rPr>
          <w:rFonts w:asciiTheme="minorHAnsi" w:hAnsiTheme="minorHAnsi" w:cstheme="minorHAnsi"/>
          <w:color w:val="000000" w:themeColor="text1"/>
          <w:lang w:val="it-IT"/>
        </w:rPr>
        <w:t>”</w:t>
      </w:r>
      <w:r w:rsidR="000E0EE1" w:rsidRPr="000E0EE1">
        <w:rPr>
          <w:rFonts w:asciiTheme="minorHAnsi" w:hAnsiTheme="minorHAnsi" w:cstheme="minorHAnsi"/>
          <w:color w:val="000000" w:themeColor="text1"/>
          <w:lang w:val="it-IT"/>
        </w:rPr>
        <w:t>.</w:t>
      </w:r>
      <w:r>
        <w:rPr>
          <w:rFonts w:asciiTheme="minorHAnsi" w:hAnsiTheme="minorHAnsi" w:cstheme="minorHAnsi"/>
          <w:color w:val="000000" w:themeColor="text1"/>
          <w:lang w:val="it-IT"/>
        </w:rPr>
        <w:t xml:space="preserve"> E ricordano alla Regione i benefici di una tale strategia: “A</w:t>
      </w:r>
      <w:r w:rsidR="000E0EE1" w:rsidRPr="000E0EE1">
        <w:rPr>
          <w:rFonts w:asciiTheme="minorHAnsi" w:hAnsiTheme="minorHAnsi" w:cstheme="minorHAnsi"/>
          <w:color w:val="000000" w:themeColor="text1"/>
          <w:lang w:val="it-IT"/>
        </w:rPr>
        <w:t>ssorbimento di una parte del flusso di merci ovest-est</w:t>
      </w:r>
      <w:r>
        <w:rPr>
          <w:rFonts w:asciiTheme="minorHAnsi" w:hAnsiTheme="minorHAnsi" w:cstheme="minorHAnsi"/>
          <w:color w:val="000000" w:themeColor="text1"/>
          <w:lang w:val="it-IT"/>
        </w:rPr>
        <w:t xml:space="preserve">, </w:t>
      </w:r>
      <w:r w:rsidR="000E0EE1" w:rsidRPr="000E0EE1">
        <w:rPr>
          <w:rFonts w:asciiTheme="minorHAnsi" w:hAnsiTheme="minorHAnsi" w:cstheme="minorHAnsi"/>
          <w:color w:val="000000" w:themeColor="text1"/>
          <w:lang w:val="it-IT"/>
        </w:rPr>
        <w:t>riduzione dei costi e dei tempi di trasporto</w:t>
      </w:r>
      <w:r>
        <w:rPr>
          <w:rFonts w:asciiTheme="minorHAnsi" w:hAnsiTheme="minorHAnsi" w:cstheme="minorHAnsi"/>
          <w:color w:val="000000" w:themeColor="text1"/>
          <w:lang w:val="it-IT"/>
        </w:rPr>
        <w:t xml:space="preserve">, </w:t>
      </w:r>
      <w:r w:rsidR="000E0EE1" w:rsidRPr="000E0EE1">
        <w:rPr>
          <w:rFonts w:asciiTheme="minorHAnsi" w:hAnsiTheme="minorHAnsi" w:cstheme="minorHAnsi"/>
          <w:color w:val="000000" w:themeColor="text1"/>
          <w:lang w:val="it-IT"/>
        </w:rPr>
        <w:t xml:space="preserve">sviluppo di un efficiente sistema portuale del </w:t>
      </w:r>
      <w:r>
        <w:rPr>
          <w:rFonts w:asciiTheme="minorHAnsi" w:hAnsiTheme="minorHAnsi" w:cstheme="minorHAnsi"/>
          <w:color w:val="000000" w:themeColor="text1"/>
          <w:lang w:val="it-IT"/>
        </w:rPr>
        <w:t>c</w:t>
      </w:r>
      <w:r w:rsidR="000E0EE1" w:rsidRPr="000E0EE1">
        <w:rPr>
          <w:rFonts w:asciiTheme="minorHAnsi" w:hAnsiTheme="minorHAnsi" w:cstheme="minorHAnsi"/>
          <w:color w:val="000000" w:themeColor="text1"/>
          <w:lang w:val="it-IT"/>
        </w:rPr>
        <w:t>entro Italia</w:t>
      </w:r>
      <w:r>
        <w:rPr>
          <w:rFonts w:asciiTheme="minorHAnsi" w:hAnsiTheme="minorHAnsi" w:cstheme="minorHAnsi"/>
          <w:color w:val="000000" w:themeColor="text1"/>
          <w:lang w:val="it-IT"/>
        </w:rPr>
        <w:t xml:space="preserve">, </w:t>
      </w:r>
      <w:r w:rsidR="000E0EE1" w:rsidRPr="000E0EE1">
        <w:rPr>
          <w:rFonts w:asciiTheme="minorHAnsi" w:hAnsiTheme="minorHAnsi" w:cstheme="minorHAnsi"/>
          <w:color w:val="000000" w:themeColor="text1"/>
          <w:lang w:val="it-IT"/>
        </w:rPr>
        <w:t>rafforzamento della connessione alla rete europea dei trasporti</w:t>
      </w:r>
      <w:r>
        <w:rPr>
          <w:rFonts w:asciiTheme="minorHAnsi" w:hAnsiTheme="minorHAnsi" w:cstheme="minorHAnsi"/>
          <w:color w:val="000000" w:themeColor="text1"/>
          <w:lang w:val="it-IT"/>
        </w:rPr>
        <w:t xml:space="preserve">, </w:t>
      </w:r>
      <w:r w:rsidR="000E0EE1" w:rsidRPr="000E0EE1">
        <w:rPr>
          <w:rFonts w:asciiTheme="minorHAnsi" w:hAnsiTheme="minorHAnsi" w:cstheme="minorHAnsi"/>
          <w:color w:val="000000" w:themeColor="text1"/>
          <w:lang w:val="it-IT"/>
        </w:rPr>
        <w:t>potenziamento delle Autostrade del Mar</w:t>
      </w:r>
      <w:r>
        <w:rPr>
          <w:rFonts w:asciiTheme="minorHAnsi" w:hAnsiTheme="minorHAnsi" w:cstheme="minorHAnsi"/>
          <w:color w:val="000000" w:themeColor="text1"/>
          <w:lang w:val="it-IT"/>
        </w:rPr>
        <w:t xml:space="preserve">e”. Senza dimenticare il legame tra il corridoio e la </w:t>
      </w:r>
      <w:proofErr w:type="spellStart"/>
      <w:r w:rsidRPr="000A6230">
        <w:rPr>
          <w:rFonts w:asciiTheme="minorHAnsi" w:hAnsiTheme="minorHAnsi" w:cstheme="minorHAnsi"/>
          <w:b/>
          <w:bCs/>
          <w:color w:val="000000" w:themeColor="text1"/>
          <w:lang w:val="it-IT"/>
        </w:rPr>
        <w:t>zes</w:t>
      </w:r>
      <w:proofErr w:type="spellEnd"/>
      <w:r w:rsidRPr="000A6230">
        <w:rPr>
          <w:rFonts w:asciiTheme="minorHAnsi" w:hAnsiTheme="minorHAnsi" w:cstheme="minorHAnsi"/>
          <w:b/>
          <w:bCs/>
          <w:color w:val="000000" w:themeColor="text1"/>
          <w:lang w:val="it-IT"/>
        </w:rPr>
        <w:t xml:space="preserve"> abruzzese</w:t>
      </w:r>
      <w:r>
        <w:rPr>
          <w:rFonts w:asciiTheme="minorHAnsi" w:hAnsiTheme="minorHAnsi" w:cstheme="minorHAnsi"/>
          <w:color w:val="000000" w:themeColor="text1"/>
          <w:lang w:val="it-IT"/>
        </w:rPr>
        <w:t>.</w:t>
      </w:r>
    </w:p>
    <w:p w14:paraId="14F8E208" w14:textId="3FE49366" w:rsidR="000E0EE1" w:rsidRDefault="00AD1BB4" w:rsidP="000A6230">
      <w:pPr>
        <w:jc w:val="both"/>
        <w:rPr>
          <w:rFonts w:asciiTheme="minorHAnsi" w:hAnsiTheme="minorHAnsi" w:cstheme="minorHAnsi"/>
          <w:color w:val="000000" w:themeColor="text1"/>
          <w:kern w:val="1"/>
          <w:lang w:val="it-IT"/>
        </w:rPr>
      </w:pPr>
      <w:r>
        <w:rPr>
          <w:rFonts w:asciiTheme="minorHAnsi" w:hAnsiTheme="minorHAnsi" w:cstheme="minorHAnsi"/>
          <w:color w:val="000000" w:themeColor="text1"/>
          <w:lang w:val="it-IT"/>
        </w:rPr>
        <w:tab/>
        <w:t xml:space="preserve">Sanità e pubblica amministrazione, infine: </w:t>
      </w:r>
      <w:r w:rsidR="000A6230">
        <w:rPr>
          <w:rFonts w:asciiTheme="minorHAnsi" w:hAnsiTheme="minorHAnsi" w:cstheme="minorHAnsi"/>
          <w:color w:val="000000" w:themeColor="text1"/>
          <w:lang w:val="it-IT"/>
        </w:rPr>
        <w:t xml:space="preserve">“La </w:t>
      </w:r>
      <w:r w:rsidR="000A6230" w:rsidRPr="000A6230">
        <w:rPr>
          <w:rFonts w:asciiTheme="minorHAnsi" w:hAnsiTheme="minorHAnsi" w:cstheme="minorHAnsi"/>
          <w:b/>
          <w:bCs/>
          <w:color w:val="000000" w:themeColor="text1"/>
          <w:lang w:val="it-IT"/>
        </w:rPr>
        <w:t>questione sanitaria</w:t>
      </w:r>
      <w:r w:rsidR="000A6230" w:rsidRPr="000A6230">
        <w:rPr>
          <w:rFonts w:asciiTheme="minorHAnsi" w:hAnsiTheme="minorHAnsi" w:cstheme="minorHAnsi"/>
          <w:color w:val="000000" w:themeColor="text1"/>
          <w:lang w:val="it-IT"/>
        </w:rPr>
        <w:t xml:space="preserve"> e il ruolo della sanità pubblica</w:t>
      </w:r>
      <w:r w:rsidR="000A6230">
        <w:rPr>
          <w:rFonts w:asciiTheme="minorHAnsi" w:hAnsiTheme="minorHAnsi" w:cstheme="minorHAnsi"/>
          <w:color w:val="000000" w:themeColor="text1"/>
          <w:lang w:val="it-IT"/>
        </w:rPr>
        <w:t xml:space="preserve"> – scrivono i sindacati -</w:t>
      </w:r>
      <w:r w:rsidR="000A6230" w:rsidRPr="000A6230">
        <w:rPr>
          <w:rFonts w:asciiTheme="minorHAnsi" w:hAnsiTheme="minorHAnsi" w:cstheme="minorHAnsi"/>
          <w:color w:val="000000" w:themeColor="text1"/>
          <w:lang w:val="it-IT"/>
        </w:rPr>
        <w:t>, esplosa nei suoi limiti e contraddizioni con la pandemia, è quasi inesistente nelle politiche regionali</w:t>
      </w:r>
      <w:r w:rsidR="000A6230">
        <w:rPr>
          <w:rFonts w:asciiTheme="minorHAnsi" w:hAnsiTheme="minorHAnsi" w:cstheme="minorHAnsi"/>
          <w:color w:val="000000" w:themeColor="text1"/>
          <w:lang w:val="it-IT"/>
        </w:rPr>
        <w:t>”</w:t>
      </w:r>
      <w:r w:rsidR="000A6230" w:rsidRPr="000A6230">
        <w:rPr>
          <w:rFonts w:asciiTheme="minorHAnsi" w:hAnsiTheme="minorHAnsi" w:cstheme="minorHAnsi"/>
          <w:color w:val="000000" w:themeColor="text1"/>
          <w:lang w:val="it-IT"/>
        </w:rPr>
        <w:t xml:space="preserve">. </w:t>
      </w:r>
      <w:r w:rsidR="000A6230">
        <w:rPr>
          <w:rFonts w:asciiTheme="minorHAnsi" w:hAnsiTheme="minorHAnsi" w:cstheme="minorHAnsi"/>
          <w:color w:val="000000" w:themeColor="text1"/>
          <w:lang w:val="it-IT"/>
        </w:rPr>
        <w:t>Così come “p</w:t>
      </w:r>
      <w:r w:rsidR="000E0EE1" w:rsidRPr="000E0EE1">
        <w:rPr>
          <w:rFonts w:asciiTheme="minorHAnsi" w:hAnsiTheme="minorHAnsi" w:cstheme="minorHAnsi"/>
          <w:color w:val="000000" w:themeColor="text1"/>
          <w:kern w:val="1"/>
          <w:lang w:val="it-IT"/>
        </w:rPr>
        <w:t>reoccupa l’assenza di riferimenti alla programmazione della sanità territoriale</w:t>
      </w:r>
      <w:r w:rsidR="000A6230">
        <w:rPr>
          <w:rFonts w:asciiTheme="minorHAnsi" w:hAnsiTheme="minorHAnsi" w:cstheme="minorHAnsi"/>
          <w:color w:val="000000" w:themeColor="text1"/>
          <w:kern w:val="1"/>
          <w:lang w:val="it-IT"/>
        </w:rPr>
        <w:t>”. In tema di burocrazia, “c</w:t>
      </w:r>
      <w:r w:rsidR="000E0EE1" w:rsidRPr="000E0EE1">
        <w:rPr>
          <w:rFonts w:asciiTheme="minorHAnsi" w:hAnsiTheme="minorHAnsi" w:cstheme="minorHAnsi"/>
          <w:color w:val="000000" w:themeColor="text1"/>
          <w:kern w:val="1"/>
          <w:lang w:val="it-IT"/>
        </w:rPr>
        <w:t>ostruire una</w:t>
      </w:r>
      <w:r w:rsidR="000E0EE1">
        <w:rPr>
          <w:rFonts w:asciiTheme="minorHAnsi" w:hAnsiTheme="minorHAnsi" w:cstheme="minorHAnsi"/>
          <w:color w:val="000000" w:themeColor="text1"/>
          <w:kern w:val="1"/>
          <w:lang w:val="it-IT"/>
        </w:rPr>
        <w:t xml:space="preserve"> </w:t>
      </w:r>
      <w:r w:rsidR="000A6230" w:rsidRPr="000A6230">
        <w:rPr>
          <w:rFonts w:asciiTheme="minorHAnsi" w:hAnsiTheme="minorHAnsi" w:cstheme="minorHAnsi"/>
          <w:b/>
          <w:bCs/>
          <w:color w:val="000000" w:themeColor="text1"/>
          <w:kern w:val="1"/>
          <w:lang w:val="it-IT"/>
        </w:rPr>
        <w:t>a</w:t>
      </w:r>
      <w:r w:rsidR="000E0EE1" w:rsidRPr="000A6230">
        <w:rPr>
          <w:rFonts w:asciiTheme="minorHAnsi" w:hAnsiTheme="minorHAnsi" w:cstheme="minorHAnsi"/>
          <w:b/>
          <w:bCs/>
          <w:color w:val="000000" w:themeColor="text1"/>
          <w:kern w:val="1"/>
          <w:lang w:val="it-IT"/>
        </w:rPr>
        <w:t xml:space="preserve">mministrazione al </w:t>
      </w:r>
      <w:r w:rsidR="000E0EE1" w:rsidRPr="000A6230">
        <w:rPr>
          <w:rFonts w:asciiTheme="minorHAnsi" w:hAnsiTheme="minorHAnsi" w:cstheme="minorHAnsi"/>
          <w:b/>
          <w:bCs/>
          <w:color w:val="000000" w:themeColor="text1"/>
          <w:kern w:val="1"/>
          <w:lang w:val="it-IT"/>
        </w:rPr>
        <w:lastRenderedPageBreak/>
        <w:t>fianco dei cittadini</w:t>
      </w:r>
      <w:r w:rsidR="000E0EE1" w:rsidRPr="000E0EE1">
        <w:rPr>
          <w:rFonts w:asciiTheme="minorHAnsi" w:hAnsiTheme="minorHAnsi" w:cstheme="minorHAnsi"/>
          <w:color w:val="000000" w:themeColor="text1"/>
          <w:kern w:val="1"/>
          <w:lang w:val="it-IT"/>
        </w:rPr>
        <w:t>, delle aziende, che sia strumento che favorisce la crescita è centrale.</w:t>
      </w:r>
      <w:r w:rsidR="000A6230">
        <w:rPr>
          <w:rFonts w:asciiTheme="minorHAnsi" w:hAnsiTheme="minorHAnsi" w:cstheme="minorHAnsi"/>
          <w:color w:val="000000" w:themeColor="text1"/>
          <w:kern w:val="1"/>
          <w:lang w:val="it-IT"/>
        </w:rPr>
        <w:t xml:space="preserve"> </w:t>
      </w:r>
      <w:r w:rsidR="000E0EE1" w:rsidRPr="000E0EE1">
        <w:rPr>
          <w:rFonts w:asciiTheme="minorHAnsi" w:hAnsiTheme="minorHAnsi" w:cstheme="minorHAnsi"/>
          <w:color w:val="000000" w:themeColor="text1"/>
          <w:kern w:val="1"/>
          <w:lang w:val="it-IT"/>
        </w:rPr>
        <w:t>Riorganizzare la macchina amministrativa è una priorità ineludibile</w:t>
      </w:r>
      <w:r w:rsidR="000A6230">
        <w:rPr>
          <w:rFonts w:asciiTheme="minorHAnsi" w:hAnsiTheme="minorHAnsi" w:cstheme="minorHAnsi"/>
          <w:color w:val="000000" w:themeColor="text1"/>
          <w:kern w:val="1"/>
          <w:lang w:val="it-IT"/>
        </w:rPr>
        <w:t>”.</w:t>
      </w:r>
    </w:p>
    <w:p w14:paraId="3EF79309" w14:textId="3AD09816" w:rsidR="000A6230" w:rsidRDefault="000A6230" w:rsidP="000A6230">
      <w:pPr>
        <w:jc w:val="both"/>
        <w:rPr>
          <w:rFonts w:asciiTheme="minorHAnsi" w:hAnsiTheme="minorHAnsi" w:cstheme="minorHAnsi"/>
          <w:color w:val="000000" w:themeColor="text1"/>
          <w:kern w:val="1"/>
          <w:lang w:val="it-IT"/>
        </w:rPr>
      </w:pPr>
    </w:p>
    <w:p w14:paraId="6F675955" w14:textId="1A52C3A1" w:rsidR="000A6230" w:rsidRDefault="000A6230" w:rsidP="000A6230">
      <w:pPr>
        <w:ind w:left="708"/>
        <w:jc w:val="both"/>
        <w:rPr>
          <w:rFonts w:asciiTheme="minorHAnsi" w:hAnsiTheme="minorHAnsi" w:cstheme="minorHAnsi"/>
          <w:color w:val="000000" w:themeColor="text1"/>
          <w:kern w:val="1"/>
          <w:lang w:val="it-IT"/>
        </w:rPr>
      </w:pPr>
      <w:r>
        <w:rPr>
          <w:rFonts w:asciiTheme="minorHAnsi" w:hAnsiTheme="minorHAnsi" w:cstheme="minorHAnsi"/>
          <w:color w:val="000000" w:themeColor="text1"/>
          <w:kern w:val="1"/>
          <w:lang w:val="it-IT"/>
        </w:rPr>
        <w:t>Informazioni per la stampa:</w:t>
      </w:r>
    </w:p>
    <w:p w14:paraId="7427B1B4" w14:textId="31D94BC4" w:rsidR="000A6230" w:rsidRDefault="000A6230" w:rsidP="000A6230">
      <w:pPr>
        <w:ind w:left="708"/>
        <w:jc w:val="both"/>
        <w:rPr>
          <w:rFonts w:asciiTheme="minorHAnsi" w:hAnsiTheme="minorHAnsi" w:cstheme="minorHAnsi"/>
          <w:color w:val="000000" w:themeColor="text1"/>
          <w:kern w:val="1"/>
          <w:lang w:val="it-IT"/>
        </w:rPr>
      </w:pPr>
    </w:p>
    <w:p w14:paraId="783C5DF7" w14:textId="4EB929F2" w:rsidR="000A6230" w:rsidRPr="000A6230" w:rsidRDefault="000A6230" w:rsidP="000A6230">
      <w:pPr>
        <w:ind w:left="708"/>
        <w:jc w:val="both"/>
        <w:rPr>
          <w:rFonts w:asciiTheme="minorHAnsi" w:hAnsiTheme="minorHAnsi" w:cstheme="minorHAnsi"/>
          <w:b/>
          <w:bCs/>
          <w:color w:val="000000" w:themeColor="text1"/>
          <w:kern w:val="1"/>
          <w:lang w:val="it-IT"/>
        </w:rPr>
      </w:pPr>
      <w:r w:rsidRPr="000A6230">
        <w:rPr>
          <w:rFonts w:asciiTheme="minorHAnsi" w:hAnsiTheme="minorHAnsi" w:cstheme="minorHAnsi"/>
          <w:b/>
          <w:bCs/>
          <w:color w:val="000000" w:themeColor="text1"/>
          <w:kern w:val="1"/>
          <w:lang w:val="it-IT"/>
        </w:rPr>
        <w:t>Piergiorgio Greco</w:t>
      </w:r>
    </w:p>
    <w:p w14:paraId="308AF56B" w14:textId="73189C64" w:rsidR="000A6230" w:rsidRPr="000A6230" w:rsidRDefault="000A6230" w:rsidP="000A6230">
      <w:pPr>
        <w:ind w:left="708"/>
        <w:jc w:val="both"/>
        <w:rPr>
          <w:rFonts w:asciiTheme="minorHAnsi" w:hAnsiTheme="minorHAnsi" w:cstheme="minorHAnsi"/>
          <w:i/>
          <w:iCs/>
          <w:color w:val="000000" w:themeColor="text1"/>
          <w:kern w:val="1"/>
          <w:lang w:val="it-IT"/>
        </w:rPr>
      </w:pPr>
      <w:r w:rsidRPr="000A6230">
        <w:rPr>
          <w:rFonts w:asciiTheme="minorHAnsi" w:hAnsiTheme="minorHAnsi" w:cstheme="minorHAnsi"/>
          <w:i/>
          <w:iCs/>
          <w:color w:val="000000" w:themeColor="text1"/>
          <w:kern w:val="1"/>
          <w:lang w:val="it-IT"/>
        </w:rPr>
        <w:t>Ufficio Stampa Uil Abruzzo</w:t>
      </w:r>
    </w:p>
    <w:p w14:paraId="12348ADD" w14:textId="6F5ECD35" w:rsidR="000A6230" w:rsidRDefault="000A6230" w:rsidP="000A6230">
      <w:pPr>
        <w:ind w:left="708"/>
        <w:jc w:val="both"/>
        <w:rPr>
          <w:rFonts w:asciiTheme="minorHAnsi" w:hAnsiTheme="minorHAnsi" w:cstheme="minorHAnsi"/>
          <w:color w:val="000000" w:themeColor="text1"/>
          <w:kern w:val="1"/>
          <w:lang w:val="it-IT"/>
        </w:rPr>
      </w:pPr>
      <w:r>
        <w:rPr>
          <w:rFonts w:asciiTheme="minorHAnsi" w:hAnsiTheme="minorHAnsi" w:cstheme="minorHAnsi"/>
          <w:color w:val="000000" w:themeColor="text1"/>
          <w:kern w:val="1"/>
          <w:lang w:val="it-IT"/>
        </w:rPr>
        <w:t>335 1709639</w:t>
      </w:r>
    </w:p>
    <w:p w14:paraId="22F36823" w14:textId="2E15F746" w:rsidR="000A6230" w:rsidRPr="000E0EE1" w:rsidRDefault="000A6230" w:rsidP="000A6230">
      <w:pPr>
        <w:ind w:left="708"/>
        <w:jc w:val="both"/>
        <w:rPr>
          <w:rFonts w:asciiTheme="minorHAnsi" w:hAnsiTheme="minorHAnsi" w:cstheme="minorHAnsi"/>
          <w:color w:val="000000" w:themeColor="text1"/>
          <w:lang w:val="it-IT"/>
        </w:rPr>
      </w:pPr>
      <w:r>
        <w:rPr>
          <w:rFonts w:asciiTheme="minorHAnsi" w:hAnsiTheme="minorHAnsi" w:cstheme="minorHAnsi"/>
          <w:color w:val="000000" w:themeColor="text1"/>
          <w:kern w:val="1"/>
          <w:lang w:val="it-IT"/>
        </w:rPr>
        <w:t>info@piergiorgiogreco.it</w:t>
      </w:r>
    </w:p>
    <w:p w14:paraId="0BF9BDAD" w14:textId="77777777" w:rsidR="00811642" w:rsidRPr="000E0EE1" w:rsidRDefault="00811642">
      <w:pPr>
        <w:rPr>
          <w:rFonts w:asciiTheme="minorHAnsi" w:hAnsiTheme="minorHAnsi" w:cstheme="minorHAnsi"/>
          <w:color w:val="000000" w:themeColor="text1"/>
          <w:lang w:val="it-IT"/>
        </w:rPr>
      </w:pPr>
    </w:p>
    <w:sectPr w:rsidR="00811642" w:rsidRPr="000E0EE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E7ED2" w14:textId="77777777" w:rsidR="00091390" w:rsidRDefault="00091390" w:rsidP="000A6230">
      <w:r>
        <w:separator/>
      </w:r>
    </w:p>
  </w:endnote>
  <w:endnote w:type="continuationSeparator" w:id="0">
    <w:p w14:paraId="366F1926" w14:textId="77777777" w:rsidR="00091390" w:rsidRDefault="00091390" w:rsidP="000A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swiss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43D9D" w14:textId="77777777" w:rsidR="00091390" w:rsidRDefault="00091390" w:rsidP="000A6230">
      <w:r>
        <w:separator/>
      </w:r>
    </w:p>
  </w:footnote>
  <w:footnote w:type="continuationSeparator" w:id="0">
    <w:p w14:paraId="32DF1CAB" w14:textId="77777777" w:rsidR="00091390" w:rsidRDefault="00091390" w:rsidP="000A6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249" w:type="dxa"/>
      <w:jc w:val="center"/>
      <w:tblLayout w:type="fixed"/>
      <w:tblLook w:val="0400" w:firstRow="0" w:lastRow="0" w:firstColumn="0" w:lastColumn="0" w:noHBand="0" w:noVBand="1"/>
    </w:tblPr>
    <w:tblGrid>
      <w:gridCol w:w="1928"/>
      <w:gridCol w:w="2640"/>
      <w:gridCol w:w="2681"/>
    </w:tblGrid>
    <w:tr w:rsidR="000A6230" w14:paraId="7DC26958" w14:textId="77777777" w:rsidTr="008E5F31">
      <w:trPr>
        <w:jc w:val="center"/>
      </w:trPr>
      <w:tc>
        <w:tcPr>
          <w:tcW w:w="1928" w:type="dxa"/>
          <w:vAlign w:val="center"/>
          <w:hideMark/>
        </w:tcPr>
        <w:p w14:paraId="676ED592" w14:textId="0A601880" w:rsidR="000A6230" w:rsidRDefault="00987BF1" w:rsidP="000A6230">
          <w:pPr>
            <w:tabs>
              <w:tab w:val="center" w:pos="4819"/>
              <w:tab w:val="right" w:pos="9638"/>
            </w:tabs>
            <w:jc w:val="center"/>
          </w:pPr>
          <w:r>
            <w:rPr>
              <w:noProof/>
            </w:rPr>
            <w:drawing>
              <wp:inline distT="0" distB="0" distL="0" distR="0" wp14:anchorId="2398ADAF" wp14:editId="44E7F2CF">
                <wp:extent cx="1087120" cy="108712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120" cy="1087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0" w:type="dxa"/>
          <w:vAlign w:val="center"/>
          <w:hideMark/>
        </w:tcPr>
        <w:p w14:paraId="22043E46" w14:textId="77777777" w:rsidR="000A6230" w:rsidRDefault="000A6230" w:rsidP="000A6230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2EDD63C" wp14:editId="39408228">
                <wp:extent cx="1087120" cy="419735"/>
                <wp:effectExtent l="0" t="0" r="0" b="0"/>
                <wp:docPr id="10" name="Immagine 10" descr="Logo CISLAbruzzoMoli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 CISLAbruzzoMolis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12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1" w:type="dxa"/>
          <w:vAlign w:val="center"/>
          <w:hideMark/>
        </w:tcPr>
        <w:p w14:paraId="17D5BD0D" w14:textId="77777777" w:rsidR="000A6230" w:rsidRDefault="000A6230" w:rsidP="000A6230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7ACE0182" wp14:editId="4C1CD548">
                <wp:extent cx="1087120" cy="667385"/>
                <wp:effectExtent l="0" t="0" r="0" b="0"/>
                <wp:docPr id="9" name="Immagine 9" descr="logo-uil-abruzz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-uil-abruzz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12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36F2D2" w14:textId="157FEB34" w:rsidR="000A6230" w:rsidRDefault="000A6230" w:rsidP="000A6230">
    <w:pPr>
      <w:pStyle w:val="Intestazione"/>
      <w:jc w:val="center"/>
    </w:pPr>
  </w:p>
  <w:p w14:paraId="09B0EAAE" w14:textId="77777777" w:rsidR="000A6230" w:rsidRDefault="000A623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E1"/>
    <w:rsid w:val="00091390"/>
    <w:rsid w:val="000A6230"/>
    <w:rsid w:val="000E0EE1"/>
    <w:rsid w:val="00234A4E"/>
    <w:rsid w:val="006E6D51"/>
    <w:rsid w:val="00811642"/>
    <w:rsid w:val="00843DBC"/>
    <w:rsid w:val="00987BF1"/>
    <w:rsid w:val="00AD1BB4"/>
    <w:rsid w:val="00FD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D6354"/>
  <w15:chartTrackingRefBased/>
  <w15:docId w15:val="{26518F94-6E82-4BB7-8525-A3BE7902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0EE1"/>
    <w:pPr>
      <w:suppressAutoHyphens/>
      <w:jc w:val="left"/>
    </w:pPr>
    <w:rPr>
      <w:rFonts w:ascii="Times New Roman" w:eastAsia="Times New Roman" w:hAnsi="Times New Roman" w:cs="Times New Roman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A">
    <w:name w:val="Corpo A"/>
    <w:rsid w:val="000E0EE1"/>
    <w:pPr>
      <w:suppressAutoHyphens/>
      <w:jc w:val="left"/>
    </w:pPr>
    <w:rPr>
      <w:rFonts w:ascii="Helvetica Neue" w:eastAsia="Arial Unicode MS" w:hAnsi="Helvetica Neue" w:cs="Arial Unicode MS"/>
      <w:color w:val="000000"/>
      <w:sz w:val="22"/>
      <w:lang w:eastAsia="ar-SA"/>
    </w:rPr>
  </w:style>
  <w:style w:type="paragraph" w:customStyle="1" w:styleId="Didefault">
    <w:name w:val="Di default"/>
    <w:rsid w:val="000E0EE1"/>
    <w:pPr>
      <w:suppressAutoHyphens/>
      <w:spacing w:before="160" w:line="288" w:lineRule="auto"/>
      <w:jc w:val="left"/>
    </w:pPr>
    <w:rPr>
      <w:rFonts w:ascii="Helvetica Neue" w:eastAsia="Arial Unicode MS" w:hAnsi="Helvetica Neue" w:cs="Arial Unicode MS"/>
      <w:color w:val="000000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A62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230"/>
    <w:rPr>
      <w:rFonts w:ascii="Times New Roman" w:eastAsia="Times New Roman" w:hAnsi="Times New Roman" w:cs="Times New Roman"/>
      <w:szCs w:val="24"/>
      <w:lang w:val="en-US"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A62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6230"/>
    <w:rPr>
      <w:rFonts w:ascii="Times New Roman" w:eastAsia="Times New Roman" w:hAnsi="Times New Roman" w:cs="Times New Roman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Greco P IVA 01931270688</dc:creator>
  <cp:keywords/>
  <dc:description/>
  <cp:lastModifiedBy>Piergiorgio Greco P IVA 01931270688</cp:lastModifiedBy>
  <cp:revision>3</cp:revision>
  <dcterms:created xsi:type="dcterms:W3CDTF">2021-04-08T08:40:00Z</dcterms:created>
  <dcterms:modified xsi:type="dcterms:W3CDTF">2021-04-08T10:17:00Z</dcterms:modified>
</cp:coreProperties>
</file>